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SOC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Data Governance and AI Governance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 simultaneously; cross-references WHOIS registration age, DNS records, and SSL details to produce a unified phishing probability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— catches brand-impersonation attacks before they reach threat feeds.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intelligence); supports bulk CSV input/output for incident response workflows and includes osint enrichment (open-source intelligence) via theHarvester for domain profiling.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Data Governance and AI Governance 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 — a metric rarely used by freshers.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