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compliance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analysis and operational risk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audit, ensuring regulatory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score, leveraging OSINT and threat intelligence.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feeds, enhancing brand protection and risk management.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(open-source intelligence) via theHarvester for domain profiling, facilitating threat intelligence and risk analysis.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enhancing vulnerability management and risk assessment.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ensuring compliance with security best practices and risk management guidelines.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tracking, streamlining vulnerability management and risk mitigation.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