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workflows, with 100% case triage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policy violation identification.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with 99% documentation quality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