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reducing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leading to improved case resolution and reduced risk exposure.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 in audit-ready case records, ensuring transparency and accountability.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patterns, flagging 200+ weekly cases early to reduce investigation time, prevent losses, and enhance case triage and risk mitigation.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 to generate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