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consistent case routing metric.</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actionable escalation reports.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records with investigation findings, decisions, evidence notes, and corrective actions, delivering a compliant documentation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that submits suspicious URLs and IPs to VirusTotal, AbuseIPDB and URLScan.io and cross-references WHOIS registration age, DNS records and SSL details for phishing analysis, producing enriched IOC reports.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detector that generates character-substitution variants of brand domains and checks live DNS resolution for brand-impersonation analysis, delivering a list of flagged domains.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that accepts URL submissions and bulk CSV input, enriches each indicator with OSINT from theHarvester and returns detailed profiling data to analysts, creating real-time enrichment messages.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that integrates Nessus and OpenVAS REST APIs in Python and enriches CVE findings with CVSS severity and EPSS context from the FIRST.org API, generating comprehensive vulnerability reports.</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web checker that sends crafted HTTP requests to detect injection, broken authentication and SSRF vulnerabilities and documents SQL injection exploit details with parameterised query remediation guidance, producing a security assessment checklist.</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using Bash and cron and added delta-scan logic to flag newly discovered CVEs and organize patch compliance tracking evidence, creating incremental scan change logs.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