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issue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resolution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to reduce repeat-issue investigation time before escalation, resulting in enhanced case efficiency and reduced risk exposure.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compliant case management and decision-making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