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resolving cases timely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accurate and compliant case outcomes.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enhancing vendor-neutral detection-as-code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