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triage, escalation, and decision workflows; produced daily triage summary report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causes of seller claims, identified policy violations and anomalous patterns, and escalated findings to senior reviewers; generated escalation packet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audit‑ready case documentation capturing investigation findings, evidence notes, and corrective actions; compiled comprehensive audit log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flagged them early to cut repeat‑issue investigation time before escalation; issued pattern alert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 force detection, lateral movement and privilege escalation and mapped TTPs to MITRE ATT&amp;CK, producing a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an automated detection pipeline where a Python script ingests Splunk alerts, enriches IOCs via the VirusTotal API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 neutral use and performed TCP/IP analysis in Wireshark to detect SYN scans, DNS tunnelling and plaintext credential exposure, generating a credential exposure detection report.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an automated vulnerability assessment pipeline that integrates Nessus and OpenVAS REST APIs in Python and generates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an OWASP Top 10 web checker that sends crafted HTTP requests to detect injection, broken authentication and SSRF vulnerabilities and documented a SQL injection exploit with remediation steps.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added delta‑scan logic to flag newly discovered CVEs and organized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