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senior reviewers, resulting in reduced repeat-issue investigation time and improved case closure rates.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