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risk management and credit analysis skills to triage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credit risk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the insurance industry.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feeds, leveraging OSINT techniques.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via theHarvester for domain profiling, utilizing SOAR (security orchestration and automation) pipeline detail.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enhancing risk management.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adhering to regulatory compliance.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utilizing financial modeling techniques.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