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workflows and regulatory requirements.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risk mitigation.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track compliance and risk management.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minimizing risk.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with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