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root cause and policy violations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detecting anomalies and flagging them early to minimize investigation time.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evidence,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Risk Analyst at Arena Investors, LP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audit trails for risk analysis: documented suspicious URLs/IPs submitted to VirusTotal, AbuseIPDB, and URLScan.io,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domain detector to identify brand impersonation risks, generating character-substitution variants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risk decision trails: deployed Telegram bot interface for live IOC enrichment, supporting bulk CSV input/output for incident response workflows and OSINT enrichment via theHarvester.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Risk Analyst at Arena Investors, LP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Mapped risk to control gaps: integrated Nessus and OpenVAS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Tracked risk remediation: automated scan scheduling via Bash and cron,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