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workflows to feed the incident queue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threat assessment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case documentation capturing investigation findings, evidence notes and corrective actions, supporting the security audit log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escalation, mapped TTPs to MITRE ATT&amp;CK and authored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enriches IOCs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vendor‑neutral use and performed Wireshark TCP/IP analysis to identify SYN scans, DNS tunnelling and plaintext credential exposure, producing a detailed exposure analysis.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 multi‑API threat intelligence pipeline that submits suspicious URLs and IPs to VirusTotal, AbuseIPDB and URLScan.io, then cross‑references WHOIS registration age, DNS records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detector that generates character‑substitution variants of brand domains and checks live DNS resolution to produce 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allowing analysts to submit URLs for live IOC enrichment, supporting bulk CSV input/output and OSINT enrichment via theHarvester for incident response workflow.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