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83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16" w:after="16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83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 w:after="0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26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ensuring structured escalation and severity-based prioritization, resulting in 90% of cases resolved within SLA.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26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Investigated seller claims, identifying policy violations and anomalous patterns, and reducing repeat-issue investigation time by 25% through pattern recognition.</w:t>
      </w:r>
    </w:p>
    <w:p w14:paraId="37136F35" w14:textId="57C2B9AC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26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Analyzed 200+ weekly cases to spot recurring fraud patterns, flagging them early and reducing repeat-issue investigation time by 30%.</w:t>
      </w:r>
    </w:p>
    <w:p w14:paraId="2DADDBB8" w14:textId="77777777" w:rsidR="00F07F8F" w:rsidRPr="00F07F8F" w:rsidRDefault="00B76EA0" w:rsidP="00F07F8F">
      <w:pPr>
        <w:pStyle w:val="ListParagraph"/>
        <w:numPr>
          <w:ilvl w:val="0"/>
          <w:numId w:val="2"/>
        </w:numPr>
        <w:spacing w:before="13" w:after="26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Documented audit-ready case files, including investigation findings, decisions, evidence notes, and corrective actions, ensuring 100% audit documentation completeness.</w:t>
      </w:r>
    </w:p>
    <w:p w14:paraId="5D98801B" w14:textId="77777777" w:rsidR="00F07F8F" w:rsidRDefault="00F07F8F" w:rsidP="00F07F8F">
      <w:pPr>
        <w:spacing w:before="16" w:after="16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4CE68D4" w:rsidR="00F85316" w:rsidRDefault="00000000" w:rsidP="00F07F8F">
      <w:pPr>
        <w:spacing w:before="76" w:after="13"/>
      </w:pPr>
      <w:r w:rsidRPr="00F07F8F"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SOC Automation and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Splunk, Wireshark, Nmap, MITRE ATT&amp;CK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26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searches for brute-force detection, lateral movement, and privilege escalation; mapped TTPs to MITRE ATT&amp;CK (T1110, T1078, T1059) and achieved 95% accuracy.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26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automated SOAR-style detection pipeline: ingesting Splunk alerts, enriching with VirusTotal API, and dispatching Telegram notifications with severity classification, reducing MTT by 30% and increasing efficiency by 25%.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26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rules; analyzed TCP/IP traffic in Wireshark for SYN scans, DNS tunnelling, and plaintext credential exposure; identified 75% of potential threats.</w:t>
      </w:r>
    </w:p>
    <w:p w14:paraId="50EFC0D0" w14:textId="77777777" w:rsidR="00F85316" w:rsidRDefault="00F85316">
      <w:pPr>
        <w:spacing w:before="16" w:after="16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26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automated vulnerability assessment pipeline integrating Nessus and OpenVAS APIs in Python, generating CVE reports with CVSS severity classification and EPSS scoring from FIRST.org API for prioritization.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26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detecting injection, auth, and SSRF vulnerabilities; documented SQL injection remediation; identified 85% of web app vulnerabilities.</w:t>
      </w:r>
    </w:p>
    <w:p w14:paraId="0240B124" w14:textId="04EC7978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26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for CVE flagging and remediation SLA deadlines (Critical=24hrs, High=7 days, Medium=30 days).</w:t>
      </w:r>
    </w:p>
    <w:p w14:paraId="3A497994" w14:textId="77777777" w:rsidR="00B76EA0" w:rsidRPr="00B76EA0" w:rsidRDefault="00B76EA0" w:rsidP="00B76EA0">
      <w:pPr>
        <w:pStyle w:val="ListParagraph"/>
        <w:spacing w:before="16" w:after="16"/>
        <w:ind w:left="450"/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83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40" w:after="40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1F1502EC" w14:textId="77777777" w:rsidR="00F85316" w:rsidRDefault="00000000">
      <w:pPr>
        <w:spacing w:before="40" w:after="40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041DE07E" w14:textId="77777777" w:rsidR="00F85316" w:rsidRDefault="00000000">
      <w:pPr>
        <w:spacing w:before="40" w:after="40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093A0390" w14:textId="77777777" w:rsidR="00F85316" w:rsidRDefault="00000000">
      <w:pPr>
        <w:spacing w:before="40" w:after="40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11A77139" w14:textId="77777777" w:rsidR="00F85316" w:rsidRDefault="00000000">
      <w:pPr>
        <w:spacing w:before="40" w:after="40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expressions, compliance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16" w:after="16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83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26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26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992AF5"/>
    <w:rsid w:val="00A15DCE"/>
    <w:rsid w:val="00A311D5"/>
    <w:rsid w:val="00B02BA8"/>
    <w:rsid w:val="00B20ABD"/>
    <w:rsid w:val="00B76EA0"/>
    <w:rsid w:val="00CB1BF0"/>
    <w:rsid w:val="00E16895"/>
    <w:rsid w:val="00F07F8F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2026-04-29T08:58:00Z</dcterms:modified>
</cp:coreProperties>
</file>