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following structured triage, escalation and decision workflows, producing a compliance case backlog report.</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an escalation summary document.</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audit‑ready case files with investigation findings, evidence notes and corrective actions, maintaining a control‑evidence repository for compliance tracking.</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multi-API threat intelligence pipeline in Python that submits suspicious URLs and IPs to VirusTotal and AbuseIPDB and cross-references WHOIS registration age, DNS records and SSL details for phishing analysis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for brand‑impersonation analysis resulting in a typosquatting detection list.</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in Python enabling analysts to submit URLs for live IOC enrichment, supports bulk CSV input and output for incident response workflows and includes OSINT enrichment via theHarvester for domain profiling bot.</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 Python that integrates Nessus and OpenVAS REST APIs and generates CVE reports classified by CVSS severity and EPSS context from the FIRST.org API CVSS severity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automated web checker in Python that sends crafted HTTP requests to detect injection, broken auth and SSRF vulnerabilities and documented SQL injection exploit with parameterised query remediation documentation.</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with Bash and cron, built delta‑scan logic to flag newly discovered CVEs and organize patch compliance tracking evidence.</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