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and escalation workflows, resulting in timely and accurate decisions.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thorough root cause analysis and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and flagging anomalies early, which reduced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case history.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