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case triage completion rate.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with 95% accurate claim investigation results.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99% accurate and complete case documentation.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by 30%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WHOIS for analysis,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enrichment, supports bulk CSV input/output for incident response workflows and includes OSINT enrichment via theHarvester for domain profiling.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vulnerabilities, documenting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