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efficient issue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escalating findings to senior reviewers for improved case resolution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records, ensuring transparency and accountability.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patterns, flagging 200+ weekly cases early, reducing repeat-issue investigation time and improving process efficiency.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 IOC data, and dispatching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patch compliance tracking with escalation and prioritization.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