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7" w:after="27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detect recurring fraud patterns, reducing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notes, recording investigation findings, decisions, evidence, and corrective actions for compliance tracking.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that submits suspicious URLs/IPs to VirusTotal, AbuseIPDB, and URLScan.io for analysis, cross-referencing WHOIS, DNS, and SSL details.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detector generating brand domain variants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7" w:after="27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web app vulnerabilities, including SQL injection, broken auth, and SSRF, with documented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building delta-scan logic to flag newly discovered CVEs and organize patch compliance (remediation tracking)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51" w:after="51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7" w:after="27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28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