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compliance with established policies and procedures.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 root cause, documenting findings, decisions, evidence, and corrective actions in audit-ready case notes.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in 200+ weekly cases, flagging early to reduce investigation time and prevent losses, demonstrating proactive risk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using Python, generating brand-impersonation variants and checking live DNS resolution via AbuseIPDB.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using Python for IOC enrichment, supporting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Python, integrating Nessus and OpenVAS REST APIs, and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