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and improve risk assessment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