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compliance tracking and decision trails.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notes, maintaining accurate and comprehensive control evidence and compliance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Compliance and Risk Management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audit-ready documentation for compliance tracking and control validation: built multi-API threat intelligence pipeline submitting suspicious data to VirusTotal, AbuseIPDB, and URLScan.io, cross-referencing WHOIS, DNS, and SSL details.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for brand-impersonation analysis and policy compliance.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for incident response workflows and OSINT enrichment via theHarvester.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Compliance and Vulnerability Management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 for secure coding practices.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for CVE flagging and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