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reducing repeat-issue investigation time.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recording investigation findings, decisions, evidence notes, and corrective actions, ensuring transparency and accountability in case resolution.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API, and dispatching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