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policy violations and anomalous patterns to inform decision-making and reduce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accurate and transparent case histories.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URLScan.io, and cross-references WHOIS, DNS, and SSL details for phishing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for incident response and OSINT enrichment via theHarvester for domain profiling.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