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achieving 95% on-time SLA adherence.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resulting in 30% reduction in repeat-issue investigation time.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for recurring fraud patterns, documenting findings and decisions in audit-ready case documentation.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accurate and detailed case documentation, ensuring 100% audit-readiness and facilitating efficient case handoff to senior reviewers.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achieved 95% accuracy in detecting security threats.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notifications, reducing MTT by 30% and increasing analyst productivity by 25%.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exposure; identified 12 security vulnerabilities.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achieved 98% accuracy in detecting phishing threats.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generating brand domain variants and checking live DNS resolution to catch brand-impersonation attacks; identified 5 potential typosquatting domains (EPSS 9.5).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theHarvester; reduced analyst response time by 40%.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