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escalation and decision workflows to build a compliance case log</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activity, and escalated findings to senior reviewers as a formal escalation report</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audit‑ready case files with investigation findings, evidence notes and corrective actions, creating a decision‑trail audit docket</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in Python that submits suspicious URLs and IPs to VirusTotal API, AbuseIPDB, and URLScan.io and cross‑references WHOIS registration age, DNS records, and SSL details to generate a phishing analysis report.</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a typosquatting domain detector in Python that creates character‑substitution variants of brand domains, queries live DNS resolution, and outputs a typosquatting detection list.</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a Telegram bot interface in Python that accepts URL submissions, enriches them with OSINT data via theHarvester, processes bulk CSV input/output, and returns an enriched IOC payload.</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 Python that integrates Nessus and OpenVAS REST APIs, pulls CVE data from NVD API, and produces CVSS‑ranked reports with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and documents findings in a structured exploit report.</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with Bash and cron, added delta‑scan logic to flag newly discovered CVEs, and organized patch compliance tracking evidence in a centralized repository.</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