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Risk Management and Compliance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actions, ensuring evidence chain-of-custody discipline for security incident reporting.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domain detector generating brand domain variants and checking live DNS resolution to catch brand-impersonation attacks early.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Nessus, OpenVAS, and FIRST.org APIs in Python, generating CVE reports with CVSS severity and EPSS scoring for prioritization.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 via crafted HTTP requests.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