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policy, identifying high-risk cases for early escalation and reducing repeat-issue investigation time.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uncovering policy violations and anomalous patterns that informed access governance decisions.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enhancing SOC efficiency;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IDS/IPS, AWS (IAM, CloudTrail, GuardDuty), cloud security posture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boto3,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