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structured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flows, detected plaintext credential exposure, and identified SYN scan and DNS tunnelling patterns indicative of C2 activity.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scanning, classify findings by CVSS severity, and generate remediation reports; implemented delta-scan logic to track patch compliance over time.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 scoring each framework domain and flagging non-compliant controls for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(data access, security posture, regulatory compliance) aligned with enterprise TPRM frameworks.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structuring, velocity abuse, and dormant account reactivation — simulating transaction monitoring analyst workflows.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