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workflows, resulting in timely and accurate decision-making.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reviewers, ensuring compliance with established policies.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root cause of seller claims, documenting investigation findings, decisions, evidence notes, and corrective actions in audit-ready case notes.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Detected recurring fraud patterns across 200+ weekly cases, flagging them early to reduce repeat-issue investigation time before escalation, and promoting a culture of compliance.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multi-API threat intelligence pipeline using Python, submitting suspicious data to VirusTotal, AbuseIPDB, URLScan.io, and cross-referencing WHOIS, DNS, and SSL details for phishing analysis.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using Python, VirusTotal API, AbuseIPDB, and WHOIS for brand-impersonation analysis and DNS resolution checks.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 using Python, Telegram bot, and theHarvester for domain profiling, supporting bulk CSV input/output.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Integrated Nessus and OpenVAS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using Python to detect injection, auth, and SSRF vulnerabilities, and documented SQL injection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cron, built delta-scan logic to flag new CVEs and track patch compliance using Python, Nessus, and OpenVAS.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