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regulatory requirements and ensuring compliance with company policies.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essential for risk management and regulatory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ensure regulatory compliance and risk mitigation.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generating CVE reports with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