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following structured workflows,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escalating findings to senior reviewers for improved case accuracy and reduced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identify recurring fraud patterns, flagged them early, and reduced repeat-issue investigation time before escalation, demonstrating proactive risk mitigation.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transparent and accountable case management and decision-making processes.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mapped to MITRE ATT&amp;CK TTPs,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