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95% of cases resolved within 3 days.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 by 30%.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risk prioritization, SLA discipline, and remediation tracking.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actions, ensuring 100% compliance with policy and regulatory requirements.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AbuseIPDB, and WHOIS to generate domain variants and check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 using Python, Telegram bot, and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using Bash and cron, and built delta-scan logic to flag newly discovered CVEs and organize patch compliance (remediation tracking) tracking evidence using Nessus and OpenVAS.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