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ensuring compliance and risk mitigation.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maintaining a clear and transparent decision trail.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and cross-references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and checking live DNS resolution for vendor and partner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 to generate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