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compliance and risk mitigation.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findings, decisions, evidence, and corrective actions in audit-ready case notes.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patterns, flagging 200+ weekly cases early, reducing repeat-issue investigation time and improving risk prioritization and SLA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brand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 using Python, Telegram bot, and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built delta-scan logic to flag new CVEs, and integrated Nessus and OpenVAS REST APIs in Python.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