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with 100% accuracy.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resulting in 95% of cases being resolved within 3 days.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identify recurring fraud patterns, reducing repeat-issue investigation time by 30%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99% compliance with regulatory requirements.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app vulnerabilities, including injection, auth, and SSRF, and documented SQL injection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