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SOC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Data and AI Governance Compliance Analyst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 simultaneously; cross-references WHOIS registration age, DNS records, and SSL details to produce a unified phishing probability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— catches brand-impersonation attacks before they reach threat feeds.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intelligence); supports bulk CSV input/output for incident response workflows and includes osint enrichment (open-source intelligence) via theHarvester for domain profiling.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Data and AI Governance Compliance Analyst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 — a metric rarely used by freshers.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documentation, policy, manage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