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IT Control Testing Specialist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reviewers, demonstrating investigative instincts central to regulatory compliance and IT controls.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operational effectiveness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(detection engineering) searches for brute-force detection (index=* failed | stats count by src_ip), lateral movement, and privilege escalation; mapped TTPs to mitre att&amp;ck (TTP mapping) (T1110, T1078, T1059)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 (security orchestration and automation)-style detection pipeline: Python script ingests Splunk alerts, runs ioc enrichment (threat intelligence) via VirusTotal API, and dispatches Telegram notifications with severity classification — reducing mean time to triage by automating repetitive tasks and improving operational effectiveness.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(vendor-neutral format used by enterprise SOCs); performed TCP/IP analysis in Wireshark to detect SYN scans, DNS tunnelling, and plaintext credential exposure on unencrypted sessions.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 (vulnerability prioritisation); implemented epss scoring (exploit probability scoring) from FIRST.org API to prioritise by actual exploit probability — a metric rarely used in IT Control Testing Specialist roles.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(web application security) automated web checker that sends crafted HTTP requests to detect injection, broken auth, and SSRF vulnerabilities; documented SQL injection exploit and parameterised query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calculate remediation SLA deadlines (Critical=24hrs, High=7 days, Medium=30 days) for patch compliance (remediation tracking) tracking and IT controls.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compliance, controls, control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