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ensuring compliance with government regulations.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for security analysis and risk management.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to support compliance tracking and control validation.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to prevent security breaches and improve risk management.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 before they reach threat feeds (T1110).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