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applying structured case triage and escalation workflows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 through root cause analysis, and escalated findings to senior reviewers for informed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capturing investigation findings, decisions, evidence notes, and corrective actions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multi-source risk assessment pipeline: submits vendor domains and IPs to VirusTotal, AbuseIPDB, and URLScan.io, cross-referencing WHOIS, DNS, and SSL certificate data for third-party due diligence and threat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domain reputation assessment tool detecting typosquatting variants and live DNS resolution for vendor and partner ecosystem review.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supporting bulk CSV input/output and OSINT enrichment via theHarvester for domain profiling.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Python, generating CVE reports with EPSS context from FIRST.org API,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validating web app security controls against regulatory requirements, documenting vulnerability-to-remediation audit trails with SQL injection fixes.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 and cron; built delta-scan logic to track remediation progress and organize audit evidence for patch compliance (remediation tracking) review.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