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supporting security incident intake process.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for security review.</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evidence notes, and corrective actions, creating a searchable security 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vulnerability assessment pipeline in Python that calls Nessus and OpenVAS REST APIs, pulls CVE data from the NVD API, classifies findings by CVSS severity and EPSS context from the FIRST.org API, and outputs a consolidated CVE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Created a Python‑based web checker that sends crafted HTTP requests to identify injection, broken authentication, and SSRF issues, captured a reproducible SQL injection exploit and recorded remediation steps in a detailed guide.</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Bash scripts scheduled via cron to run incremental scans, added delta‑scan logic to highlight newly discovered CVEs, and generated patch compliance tracking evidence for each finding.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Splunk with SPL correlation searches for brute‑force attempts, lateral movement, and privilege escalation, mapped detected TTPs to MITRE ATT&amp;CK, and compiled the results into an incident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 Python automation that consumes Splunk alerts, enriches IOCs via the VirusTotal API, classifies severity, and sends formatted Telegram notifications to the response team.</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Translated detection logic into Sigma rules for vendor‑neutral use, performed TCP/IP analysis in Wireshark to spot SYN scans, DNS tunnelling, and plaintext credential exposure, and delivered a complete Sigma rule set.</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65" w:after="65"/>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65" w:after="65"/>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65" w:after="65"/>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