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completion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with 95% accurate claim investigation and escalation.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accurate and complete case documentation.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