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Tax Compliance Automation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structured escalation audit documentation.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severity-based prioritization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sessions, resulting in audit-ready case notes.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API, creating audit documentation (audit trail).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including pattern recognition.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evidence, adhering to structured escalation and severity-based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