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 based on CVSS scores.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in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 in patch compliance tracking evidence.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 in structured escalation format.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