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risk prioritization and SLA discipline, producing an audit‑ready case queue.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risk escalation tickets.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investigation findings, decisions, evidence notes, and corrective actions in audit‑ready case files, creating a compliance evidence repository.</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and cross-references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in Python that generates character‑substitution variants of brand domains and checks live DNS resolution for brand‑impersonation analysis.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in Python enabling analysts to submit URLs for live IOC enrichment, supports bulk CSV input and output for incident response workflows, and includes OSINT enrichment via theHarvester for domain profiling.</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 Python that integrates Nessus and OpenVAS REST APIs and generates CVE reports classified by CVSS severity and EPSS context from the FIRST.org API for vulnerability prioritization.</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in Python that sends crafted HTTP requests to detect injection, broken authentication, and SSRF vulnerabilities and documents SQL injection exploit and parameterised query remediation for remediation documentation.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with Bash and cron, built delta‑scan logic to flag newly discovered CVEs and organize patch compliance tracking evidence.</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