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applying structured workflows for threat assessment and risk mitigation.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identified policy violations and anomalous patterns, and escalated findings to senior reviewers, with a focus on incident response and security.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actions, with a focus on evidence-based reporting and security.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Identified recurring fraud patterns in 200+ weekly cases, reducing repeat-issue investigation time through early flagging and threat detection.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risk, assessment, response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