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risk prioritization, SLA discipline, and remediation tracking.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multi-source risk assessment pipeline: submits vendor domains and IPs to VirusTotal, AbuseIPDB, and URLScan.io, cross-referencing WHOIS, DNS, and SSL certificate data for third-party due diligence.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domain reputation assessment tool for vendor and partner review, detecting typosquatting variants and live DNS resolution.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automated risk assessment, supporting bulk CSV input/output and OSINT enrichment via theHarvester for domain profiling and vendor risk assessment.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audit-ready CVE reports with EPSS context from FIRST.org API and CVSS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 validating web app security controls against regulatory requirements, documenting vulnerability-to-remediation audit trails including SQL injection fixes.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 scheduling via Bash and cron; built delta-scan logic to track remediation progress and organize audit evidence for patch compliance (remediation tracking) review.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