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identify potential fraud risk.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 to identify policy violations and anomalous patterns, and escalated findings to senior reviewers for further investigation to mitigate risk analysis.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ensure compliance with company policies.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to reduce repeat-issue investigation time and prevent financial loss.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