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prioritizing risk indicators and reviewing evidence to inform eligibility decisions.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identifying policy violations and anomalous patterns, and escalated findings to senior reviewers for risk management and credit scoring.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to support risk management and credit risk analysis.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informing credit risk analysis.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and leveraging EPSS scoring from FIRST.org API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