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maintaining a 95% on‑time review rate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producing escalation packets for 50+ cases weekly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creating 50+ compliant case files per week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correlation searches for brute‑force, lateral movement, and privilege escalation; mapped TTPs to MITRE ATT&amp;CK and generated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enriches IOCs via VirusTotal API, and sends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multi‑API threat intelligence pipeline: submits suspicious URLs/IPs to VirusTotal, AbuseIPDB, and URLScan.io; cross‑references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character‑substitution variants of brand domains and checking live DNS resolution for brand‑impersonation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